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FDD" w:rsidRDefault="009C2791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</w:t>
      </w:r>
      <w:r w:rsidR="00E51FDD" w:rsidRPr="00004E2A">
        <w:rPr>
          <w:rFonts w:ascii="Times New Roman" w:hAnsi="Times New Roman" w:cs="Times New Roman"/>
          <w:b/>
          <w:sz w:val="28"/>
          <w:szCs w:val="28"/>
        </w:rPr>
        <w:t>работа №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bookmarkStart w:id="0" w:name="_GoBack"/>
      <w:bookmarkEnd w:id="0"/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b/>
          <w:sz w:val="28"/>
          <w:szCs w:val="28"/>
        </w:rPr>
        <w:t xml:space="preserve">Определение кислотности воды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4E2A">
        <w:rPr>
          <w:rFonts w:ascii="Times New Roman" w:hAnsi="Times New Roman" w:cs="Times New Roman"/>
          <w:b/>
          <w:i/>
          <w:sz w:val="28"/>
          <w:szCs w:val="28"/>
        </w:rPr>
        <w:t xml:space="preserve">Сущность метода.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>Кислотность определяется титрованием воды гидроксидом натрия в присутствии индикаторов. Кислотность определяется, если рН воды меньше 8,3, в противном случае ее кислотность равна нулю.</w:t>
      </w: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4E2A">
        <w:rPr>
          <w:rFonts w:ascii="Times New Roman" w:hAnsi="Times New Roman" w:cs="Times New Roman"/>
          <w:b/>
          <w:i/>
          <w:sz w:val="28"/>
          <w:szCs w:val="28"/>
        </w:rPr>
        <w:t xml:space="preserve">Реактивы и оборудование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>Индикаторы: фенолфталеин, метилоранж или заменяющие их</w:t>
      </w:r>
    </w:p>
    <w:p w:rsidR="00E51FDD" w:rsidRPr="00004E2A" w:rsidRDefault="00E51FDD" w:rsidP="00E51F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04E2A">
        <w:rPr>
          <w:rFonts w:ascii="Times New Roman" w:hAnsi="Times New Roman" w:cs="Times New Roman"/>
          <w:sz w:val="28"/>
          <w:szCs w:val="28"/>
        </w:rPr>
        <w:t xml:space="preserve"> Гидроксид натрия, раствор с концентрацией 0,1 моль-экв./дм3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04E2A">
        <w:rPr>
          <w:rFonts w:ascii="Times New Roman" w:hAnsi="Times New Roman" w:cs="Times New Roman"/>
          <w:b/>
          <w:i/>
          <w:sz w:val="28"/>
          <w:szCs w:val="28"/>
        </w:rPr>
        <w:t>Ход определения</w:t>
      </w: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 xml:space="preserve">Предварительно ориентировочно устанавливают рН воды. Кислотность определяют, если рН меньше 8,3. Если вода мутная, ее фильтруют, а если окрашенная – разбавляют дистиллированной водой. Разбавление проводят в мерных колбах вместимостью 100 – 200 см3 . Сначала наливают в мерную колбу 20 – 30 см3 дистиллированной воды, потом точно отмеренный объем анализируемой воды, раствор перемешивают, доливают дистиллированную воду до метки и снова перемешивают. Взятый объем анализируемой воды учитывают при вычислении результата анализа.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 xml:space="preserve">При определении кислотности титрование с разными индикаторами лучше проводить в отдельных порциях анализируемой воды.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b/>
          <w:i/>
          <w:sz w:val="28"/>
          <w:szCs w:val="28"/>
        </w:rPr>
        <w:t>Определение общей кислотности.</w:t>
      </w: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 xml:space="preserve">К 50 –100 см3 анализируемой воды прибавляют 10 капель раствора фенолфталеина и титруют раствором едкого натра на белом фоне до появления неисчезающего малинового (при использовании фенолфталеина) окрашивания. Определение свободной кислотности. К другой пробе анализируемой воды (50 – 100 </w:t>
      </w:r>
      <w:r>
        <w:rPr>
          <w:rFonts w:ascii="Times New Roman" w:hAnsi="Times New Roman" w:cs="Times New Roman"/>
          <w:sz w:val="28"/>
          <w:szCs w:val="28"/>
        </w:rPr>
        <w:t>см3</w:t>
      </w:r>
      <w:r w:rsidRPr="00004E2A">
        <w:rPr>
          <w:rFonts w:ascii="Times New Roman" w:hAnsi="Times New Roman" w:cs="Times New Roman"/>
          <w:sz w:val="28"/>
          <w:szCs w:val="28"/>
        </w:rPr>
        <w:t xml:space="preserve">) прибавляют 5 – 6 капель метилоранжа (или одного из заменяющих его индикаторов). При наличии в воде сильных кислот появляется розовая окраска. В этом случае пробу титруют раствором гидроксида натрия до изменения окраски индикатора по сравнению с раствором сравнения. Для приготовления раствора сравнения отбирают такой же объем воды и добавляют столько же капель индикатора.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b/>
          <w:i/>
          <w:sz w:val="28"/>
          <w:szCs w:val="28"/>
        </w:rPr>
        <w:t>Расчет.</w:t>
      </w: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Содержание кислот (Х) в ммоль-экв./дм 3 вычисляют по формуле: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1191"/>
        <w:gridCol w:w="1134"/>
      </w:tblGrid>
      <w:tr w:rsidR="00E51FDD" w:rsidRPr="00D219D7" w:rsidTr="00FD56FA">
        <w:tc>
          <w:tcPr>
            <w:tcW w:w="2605" w:type="dxa"/>
            <w:shd w:val="clear" w:color="auto" w:fill="auto"/>
            <w:vAlign w:val="center"/>
          </w:tcPr>
          <w:p w:rsidR="00E51FDD" w:rsidRPr="00C477D3" w:rsidRDefault="00E51FDD" w:rsidP="00FD56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  <w:r w:rsidRPr="004225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</w:t>
            </w:r>
            <w:r w:rsidRPr="00D219D7">
              <w:rPr>
                <w:rFonts w:ascii="Times New Roman" w:hAnsi="Times New Roman" w:cs="Times New Roman"/>
                <w:b/>
                <w:sz w:val="32"/>
                <w:szCs w:val="32"/>
              </w:rPr>
              <w:t>Х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=</w:t>
            </w:r>
          </w:p>
        </w:tc>
        <w:tc>
          <w:tcPr>
            <w:tcW w:w="905" w:type="dxa"/>
            <w:shd w:val="clear" w:color="auto" w:fill="auto"/>
            <w:vAlign w:val="center"/>
          </w:tcPr>
          <w:p w:rsidR="00E51FDD" w:rsidRPr="00422564" w:rsidRDefault="00E51FDD" w:rsidP="00FD56FA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477D3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  <w:vertAlign w:val="subscript"/>
              </w:rPr>
              <w:t>т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_•_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  <w:t>H</w:t>
            </w:r>
            <w:r w:rsidRPr="00422564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vertAlign w:val="subscript"/>
              </w:rPr>
              <w:t>т</w:t>
            </w:r>
          </w:p>
          <w:p w:rsidR="00E51FDD" w:rsidRPr="00422564" w:rsidRDefault="00E51FDD" w:rsidP="00FD56FA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  <w:vertAlign w:val="subscript"/>
              </w:rPr>
            </w:pPr>
            <w:r w:rsidRPr="00C477D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</w:rPr>
              <w:t>пробы</w:t>
            </w:r>
          </w:p>
        </w:tc>
        <w:tc>
          <w:tcPr>
            <w:tcW w:w="1134" w:type="dxa"/>
            <w:shd w:val="clear" w:color="auto" w:fill="auto"/>
          </w:tcPr>
          <w:p w:rsidR="00E51FDD" w:rsidRPr="00D219D7" w:rsidRDefault="00E51FDD" w:rsidP="00FD56F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219D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•</w:t>
            </w:r>
            <w:r w:rsidRPr="00C477D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</w:p>
        </w:tc>
      </w:tr>
    </w:tbl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lastRenderedPageBreak/>
        <w:t xml:space="preserve"> где V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219D7">
        <w:rPr>
          <w:rFonts w:ascii="Times New Roman" w:hAnsi="Times New Roman" w:cs="Times New Roman"/>
          <w:sz w:val="28"/>
          <w:szCs w:val="28"/>
        </w:rPr>
        <w:t xml:space="preserve"> – объем титранта, см3 ;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Н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219D7">
        <w:rPr>
          <w:rFonts w:ascii="Times New Roman" w:hAnsi="Times New Roman" w:cs="Times New Roman"/>
          <w:sz w:val="28"/>
          <w:szCs w:val="28"/>
        </w:rPr>
        <w:t xml:space="preserve"> – концентрация титранта, моль-экв./дм3 ;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V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пробы</w:t>
      </w:r>
      <w:r w:rsidRPr="00D219D7">
        <w:rPr>
          <w:rFonts w:ascii="Times New Roman" w:hAnsi="Times New Roman" w:cs="Times New Roman"/>
          <w:sz w:val="28"/>
          <w:szCs w:val="28"/>
        </w:rPr>
        <w:t xml:space="preserve"> – объем пробы, см3 ;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1000 – коэффициент для перехода от моль-экв. к ммоль-экв. </w:t>
      </w:r>
    </w:p>
    <w:p w:rsidR="000230F9" w:rsidRDefault="009C2791"/>
    <w:sectPr w:rsidR="000230F9" w:rsidSect="00E51FDD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566"/>
    <w:rsid w:val="0028010B"/>
    <w:rsid w:val="009C2791"/>
    <w:rsid w:val="00D50566"/>
    <w:rsid w:val="00DE459A"/>
    <w:rsid w:val="00E51FDD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FDD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table" w:styleId="a4">
    <w:name w:val="Table Grid"/>
    <w:basedOn w:val="a1"/>
    <w:uiPriority w:val="59"/>
    <w:rsid w:val="00E51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FDD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table" w:styleId="a4">
    <w:name w:val="Table Grid"/>
    <w:basedOn w:val="a1"/>
    <w:uiPriority w:val="59"/>
    <w:rsid w:val="00E51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4</cp:revision>
  <dcterms:created xsi:type="dcterms:W3CDTF">2023-10-15T10:22:00Z</dcterms:created>
  <dcterms:modified xsi:type="dcterms:W3CDTF">2023-10-15T10:58:00Z</dcterms:modified>
</cp:coreProperties>
</file>